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7820FAF" w14:textId="77777777" w:rsidR="00840E39" w:rsidRDefault="00840E39">
      <w:pPr>
        <w:contextualSpacing/>
      </w:pPr>
    </w:p>
    <w:p w14:paraId="428D6872" w14:textId="77777777" w:rsidR="00840E39" w:rsidRDefault="00840E39">
      <w:pPr>
        <w:contextualSpacing/>
      </w:pPr>
    </w:p>
    <w:p w14:paraId="23030406" w14:textId="77777777" w:rsidR="00840E39" w:rsidRDefault="00840E39">
      <w:pPr>
        <w:contextualSpacing/>
      </w:pPr>
    </w:p>
    <w:p w14:paraId="29383F85" w14:textId="77777777" w:rsidR="00840E39" w:rsidRDefault="00840E39">
      <w:pPr>
        <w:contextualSpacing/>
      </w:pPr>
    </w:p>
    <w:p w14:paraId="37C555CD" w14:textId="77777777" w:rsidR="00840E39" w:rsidRDefault="00840E39">
      <w:pPr>
        <w:contextualSpacing/>
      </w:pPr>
    </w:p>
    <w:p w14:paraId="533BB8E9" w14:textId="77777777" w:rsidR="00840E39" w:rsidRDefault="00840E39">
      <w:pPr>
        <w:contextualSpacing/>
      </w:pPr>
    </w:p>
    <w:p w14:paraId="4C7DC502" w14:textId="77777777" w:rsidR="00840E39" w:rsidRDefault="00840E39">
      <w:pPr>
        <w:contextualSpacing/>
      </w:pPr>
    </w:p>
    <w:p w14:paraId="4A335F84" w14:textId="77777777" w:rsidR="00840E39" w:rsidRDefault="00840E39">
      <w:pPr>
        <w:contextualSpacing/>
      </w:pPr>
    </w:p>
    <w:p w14:paraId="296B30DC" w14:textId="77777777" w:rsidR="00840E39" w:rsidRDefault="007A3D9F" w:rsidP="00840E39">
      <w:pPr>
        <w:contextualSpacing/>
        <w:jc w:val="center"/>
        <w:rPr>
          <w:b/>
          <w:bCs/>
        </w:rPr>
      </w:pPr>
      <w:bookmarkStart w:id="0" w:name="_Hlk61004360"/>
      <w:proofErr w:type="spellStart"/>
      <w:r>
        <w:rPr>
          <w:b/>
          <w:bCs/>
        </w:rPr>
        <w:t>Gov</w:t>
      </w:r>
      <w:proofErr w:type="spellEnd"/>
      <w:r>
        <w:rPr>
          <w:b/>
          <w:bCs/>
        </w:rPr>
        <w:t xml:space="preserve"> HW Questions</w:t>
      </w:r>
    </w:p>
    <w:bookmarkEnd w:id="0"/>
    <w:p w14:paraId="3A6E8110" w14:textId="77777777" w:rsidR="00840E39" w:rsidRDefault="00840E39" w:rsidP="00840E39">
      <w:pPr>
        <w:contextualSpacing/>
        <w:jc w:val="center"/>
        <w:rPr>
          <w:b/>
          <w:bCs/>
        </w:rPr>
      </w:pPr>
    </w:p>
    <w:p w14:paraId="66D6722D" w14:textId="77777777" w:rsidR="00840E39" w:rsidRDefault="00840E39" w:rsidP="00840E39">
      <w:pPr>
        <w:contextualSpacing/>
        <w:jc w:val="center"/>
        <w:rPr>
          <w:b/>
          <w:bCs/>
        </w:rPr>
      </w:pPr>
    </w:p>
    <w:p w14:paraId="7B11BD2A" w14:textId="15CFBC61" w:rsidR="00840E39" w:rsidRDefault="00840E39" w:rsidP="00840E39">
      <w:pPr>
        <w:contextualSpacing/>
        <w:jc w:val="center"/>
        <w:rPr>
          <w:b/>
          <w:bCs/>
        </w:rPr>
      </w:pPr>
    </w:p>
    <w:p w14:paraId="5D7AA110" w14:textId="77777777" w:rsidR="002B5C95" w:rsidRDefault="002B5C95" w:rsidP="00840E39">
      <w:pPr>
        <w:contextualSpacing/>
        <w:jc w:val="center"/>
        <w:rPr>
          <w:b/>
          <w:bCs/>
        </w:rPr>
      </w:pPr>
    </w:p>
    <w:p w14:paraId="671B6268" w14:textId="77777777" w:rsidR="00840E39" w:rsidRDefault="007A3D9F" w:rsidP="00840E39">
      <w:pPr>
        <w:contextualSpacing/>
        <w:jc w:val="center"/>
      </w:pPr>
      <w:r>
        <w:t>(Student’s Name)</w:t>
      </w:r>
    </w:p>
    <w:p w14:paraId="183AA50F" w14:textId="77777777" w:rsidR="00840E39" w:rsidRDefault="007A3D9F" w:rsidP="00840E39">
      <w:pPr>
        <w:contextualSpacing/>
        <w:jc w:val="center"/>
      </w:pPr>
      <w:r>
        <w:t>(Institution Affiliated)</w:t>
      </w:r>
    </w:p>
    <w:p w14:paraId="35BF102E" w14:textId="77777777" w:rsidR="00840E39" w:rsidRDefault="007A3D9F" w:rsidP="00840E39">
      <w:pPr>
        <w:contextualSpacing/>
        <w:jc w:val="center"/>
      </w:pPr>
      <w:r>
        <w:t>(Course)</w:t>
      </w:r>
    </w:p>
    <w:p w14:paraId="73F7F826" w14:textId="0F7E6076" w:rsidR="00840E39" w:rsidRDefault="007A3D9F" w:rsidP="00041F08">
      <w:pPr>
        <w:contextualSpacing/>
        <w:jc w:val="center"/>
      </w:pPr>
      <w:r>
        <w:t>(Date)</w:t>
      </w:r>
      <w:r>
        <w:br w:type="page"/>
      </w:r>
      <w:proofErr w:type="spellStart"/>
      <w:r w:rsidRPr="00840E39">
        <w:lastRenderedPageBreak/>
        <w:t>Gov</w:t>
      </w:r>
      <w:proofErr w:type="spellEnd"/>
      <w:r w:rsidRPr="00840E39">
        <w:t xml:space="preserve"> HW Questions</w:t>
      </w:r>
    </w:p>
    <w:p w14:paraId="7E475020" w14:textId="3660C35A" w:rsidR="00817566" w:rsidRPr="00817566" w:rsidRDefault="007A3D9F" w:rsidP="00817566">
      <w:pPr>
        <w:contextualSpacing/>
        <w:rPr>
          <w:b/>
          <w:bCs/>
        </w:rPr>
      </w:pPr>
      <w:r w:rsidRPr="00817566">
        <w:rPr>
          <w:b/>
          <w:bCs/>
        </w:rPr>
        <w:t>General Structure of Government and The Constitution</w:t>
      </w:r>
    </w:p>
    <w:p w14:paraId="3E8F1FF0" w14:textId="58632A68" w:rsidR="00F05F98" w:rsidRDefault="007A3D9F" w:rsidP="00252AB2">
      <w:pPr>
        <w:ind w:firstLine="720"/>
        <w:contextualSpacing/>
      </w:pPr>
      <w:r w:rsidRPr="00836F6C">
        <w:t>The voters elect leaders to make democratic decisions and enact regulations in a representative democracy. In a direct democracy, all political decisions are taken by citizens, and laws are passed by themselves.</w:t>
      </w:r>
    </w:p>
    <w:p w14:paraId="3E3A7E32" w14:textId="46DCEEF8" w:rsidR="00836F6C" w:rsidRDefault="007A3D9F" w:rsidP="00252AB2">
      <w:pPr>
        <w:ind w:firstLine="720"/>
        <w:contextualSpacing/>
      </w:pPr>
      <w:r w:rsidRPr="00267D8D">
        <w:t xml:space="preserve">Direct democracy could strip away the rights of minorities. </w:t>
      </w:r>
      <w:r w:rsidR="00B02957">
        <w:t>The biggest</w:t>
      </w:r>
      <w:r w:rsidRPr="00267D8D">
        <w:t xml:space="preserve"> problem of direct democracy is that it might be considered a majority tyranny and, therefore, minority groups who suffer.  </w:t>
      </w:r>
    </w:p>
    <w:p w14:paraId="5DA5FC3D" w14:textId="55F8B9C5" w:rsidR="00267D8D" w:rsidRDefault="007A3D9F" w:rsidP="00252AB2">
      <w:pPr>
        <w:ind w:firstLine="720"/>
        <w:contextualSpacing/>
      </w:pPr>
      <w:r w:rsidRPr="00B02957">
        <w:t>The enumerated powers (also referred to as articulated powers, exact powers, or delegated powers) of the United States Congress are powers conferred on the United States' federal government. Article I, Section 8 of the Constitution of the United States lists several of these powers. In short, Congress can, according to the individual rights specified in the Charter of Rights, exercise the powers bestowed on its Constitution. In addition to this, the Constitution makes a variety of other congressional limits as laid out in the Tenth Amendment: "The powers not granted by the Constitution to the United States or forbidden by it, are reserved respectively for the States or the States</w:t>
      </w:r>
      <w:r w:rsidR="00D30498">
        <w:t xml:space="preserve"> (</w:t>
      </w:r>
      <w:r w:rsidR="00D30498" w:rsidRPr="00D30498">
        <w:t>Elliot, 2019)</w:t>
      </w:r>
      <w:r w:rsidRPr="00B02957">
        <w:t>.</w:t>
      </w:r>
    </w:p>
    <w:p w14:paraId="233ECE63" w14:textId="77777777" w:rsidR="00E54425" w:rsidRDefault="00E54425" w:rsidP="00252AB2">
      <w:pPr>
        <w:ind w:firstLine="720"/>
        <w:contextualSpacing/>
      </w:pPr>
      <w:r w:rsidRPr="00E54425">
        <w:t>The Articles of Confederation and Perpetual Unity became the first written Constitution of the United States. Since 1 March 1781 not ratified. The States became independent and unified by these provisions, with Congress serving as the final resort to the petition for dispute. The downside is that the central government cannot impose taxes and regulate markets. These issues led to the Constitution of 1787 and new constitutional rules in the Constitution of the United States.</w:t>
      </w:r>
    </w:p>
    <w:p w14:paraId="5283F239" w14:textId="0788B971" w:rsidR="00AF299C" w:rsidRDefault="007A3D9F" w:rsidP="00252AB2">
      <w:pPr>
        <w:ind w:firstLine="720"/>
        <w:contextualSpacing/>
      </w:pPr>
      <w:r w:rsidRPr="00AF299C">
        <w:t xml:space="preserve">In February 1787, Congress agreed to convene a convention to amend the republic's first Constitution, the Articles of Confederation. Fifty-five delegates came to Philadelphia in May, </w:t>
      </w:r>
      <w:r w:rsidRPr="00AF299C">
        <w:lastRenderedPageBreak/>
        <w:t>and the Constitutional Convention began. Debates also raged over-representation in Congress, slavery, and the modern executive branch.</w:t>
      </w:r>
    </w:p>
    <w:p w14:paraId="2707DC4B" w14:textId="2DF4486C" w:rsidR="00AF299C" w:rsidRDefault="007A3D9F" w:rsidP="00252AB2">
      <w:pPr>
        <w:ind w:firstLine="720"/>
        <w:contextualSpacing/>
      </w:pPr>
      <w:r w:rsidRPr="00ED66C9">
        <w:t>The rules adopted confirmed the irony: a conference calling for a reassessment of the effectiveness of the Articles of Confederation started by introducing, without justification, five voting rules of the Articles: a quorum required by a majority of States, one vote for each Province, a vote by States and not by persons, an internal quorum provision for each State and the opportunity for each State to submit a vote.</w:t>
      </w:r>
    </w:p>
    <w:p w14:paraId="0F8B18BA" w14:textId="77F157B0" w:rsidR="00252AB2" w:rsidRDefault="007A3D9F" w:rsidP="00252AB2">
      <w:pPr>
        <w:ind w:firstLine="720"/>
        <w:contextualSpacing/>
      </w:pPr>
      <w:r w:rsidRPr="00252AB2">
        <w:t>Slavery was banned in the Northwest Territories in 1787. The Northwest Ordinance prohibited slavery. In addition to Article IV, the Fugitive Slave Clause was then added. But the slave trade could not be controlled until 1808.</w:t>
      </w:r>
    </w:p>
    <w:p w14:paraId="5FC9AAE8" w14:textId="77777777" w:rsidR="00657962" w:rsidRDefault="00657962" w:rsidP="00252AB2">
      <w:pPr>
        <w:ind w:firstLine="720"/>
        <w:contextualSpacing/>
      </w:pPr>
      <w:r w:rsidRPr="00657962">
        <w:t>The Three-fifth Compromise was reached between state delegates at the Constitutional Convention of 1787 in the United States. Representatives disputed when and how the county's actual population could be measured by the amount of slaves in that state and how much they received in taxes, although that calculation was decided. The agreement counted three out of five slaves as human beings. Southern nations were given three thirds more seats in Congress and a third more polls than slaves, who were not taken into consideration nor were not equivalent in amount as slaves and free persons (Elliot, 2019).</w:t>
      </w:r>
    </w:p>
    <w:p w14:paraId="09215CFA" w14:textId="26B3EE4C" w:rsidR="00FF4810" w:rsidRDefault="007A3D9F" w:rsidP="00252AB2">
      <w:pPr>
        <w:ind w:firstLine="720"/>
        <w:contextualSpacing/>
      </w:pPr>
      <w:r w:rsidRPr="00FF4810">
        <w:t xml:space="preserve">Ratification by the United States Constitution of 1788 led to the Congress of the Articles of Confederation transition to a current central government. On 13 September 1788, the soon-to-expire Congress issued an ordinance granting the State the power to hold elections for its senators and delegates. On 30 September 1788, Pennsylvania became the first state to elect its two representatives. The first party of elected senators filed for office on 4 March 1789. From 1789 to 1913, the seventeenth Amendment to the U.S. The Constitution has been adopted, and </w:t>
      </w:r>
      <w:r w:rsidRPr="00FF4810">
        <w:lastRenderedPageBreak/>
        <w:t>state legislatures have elected the senators. Beginning with the 1914 general election, all U.S. senators were elected directly by the majority</w:t>
      </w:r>
      <w:r w:rsidR="008D786C">
        <w:t>.</w:t>
      </w:r>
    </w:p>
    <w:p w14:paraId="11352A4B" w14:textId="498B4D51" w:rsidR="008D786C" w:rsidRDefault="007A3D9F" w:rsidP="00252AB2">
      <w:pPr>
        <w:ind w:firstLine="720"/>
        <w:contextualSpacing/>
      </w:pPr>
      <w:r w:rsidRPr="00CA66AF">
        <w:t xml:space="preserve">Separation of powers is a model that splits the government into separate divisions, each with different and independent authorities. This structure helps ensure that no one component is more dominant than another by having several government branches. </w:t>
      </w:r>
      <w:r>
        <w:t>The separated government then uses the c</w:t>
      </w:r>
      <w:r w:rsidRPr="00CA66AF">
        <w:t xml:space="preserve">hecks and balances, the principle of government under which separate chapters are empowered to prevent other components from </w:t>
      </w:r>
      <w:r>
        <w:t>becoming too powerful</w:t>
      </w:r>
      <w:r w:rsidRPr="00CA66AF">
        <w:t xml:space="preserve"> and are induced to share power</w:t>
      </w:r>
      <w:r>
        <w:t>.</w:t>
      </w:r>
    </w:p>
    <w:p w14:paraId="2B5B6FAA" w14:textId="77777777" w:rsidR="00657962" w:rsidRDefault="00657962" w:rsidP="00252AB2">
      <w:pPr>
        <w:ind w:firstLine="720"/>
        <w:contextualSpacing/>
      </w:pPr>
      <w:r w:rsidRPr="00657962">
        <w:t>Section 8 of Article I, Clause 18 of the United States Due to the elasticity which it offers Congress in the application of its powers, the Constitution, the Elastic Clause, is so-called. The Provision gives Congress the right, if necessary, to carry out its tasks, not expressly provided for in the Constitution. In other terms, Congress would do something "necessary and proper" to do its job.</w:t>
      </w:r>
    </w:p>
    <w:p w14:paraId="0A947CF8" w14:textId="77777777" w:rsidR="00FA6BA0" w:rsidRDefault="00657962" w:rsidP="00252AB2">
      <w:pPr>
        <w:ind w:firstLine="720"/>
        <w:contextualSpacing/>
      </w:pPr>
      <w:r w:rsidRPr="00657962">
        <w:t>The House of Representatives charges an officer of the federal government in the indictment process with the approval, by majority vote, of articles of indictment. The Council of Senators, referred to as "Managers," shall work before the Senate as lawyers.</w:t>
      </w:r>
      <w:r w:rsidR="007A3D9F" w:rsidRPr="009A2BB4">
        <w:t xml:space="preserve">. </w:t>
      </w:r>
      <w:r w:rsidR="00FA6BA0" w:rsidRPr="00FA6BA0">
        <w:t xml:space="preserve">The Senate is a Supreme Court for Impeachment in which senators consider the evidence, hear testimony and decide to </w:t>
      </w:r>
      <w:proofErr w:type="spellStart"/>
      <w:r w:rsidR="00FA6BA0" w:rsidRPr="00FA6BA0">
        <w:t>acquitte</w:t>
      </w:r>
      <w:proofErr w:type="spellEnd"/>
      <w:r w:rsidR="00FA6BA0" w:rsidRPr="00FA6BA0">
        <w:t xml:space="preserve"> or prosecute a guilty official. The Chief Justice of the United States presides over the situation of a presidential detention trial. The Constitution allows a two-thirds vote of the Senate to prosecute and remove the term of the accused officer from service on indictment (Elliot, 2019).</w:t>
      </w:r>
    </w:p>
    <w:p w14:paraId="7786EEE6" w14:textId="287423F7" w:rsidR="007E0F55" w:rsidRDefault="007A3D9F" w:rsidP="00252AB2">
      <w:pPr>
        <w:ind w:firstLine="720"/>
        <w:contextualSpacing/>
      </w:pPr>
      <w:r w:rsidRPr="007E0F55">
        <w:t>The President will formulate and negotiate; however, a two-thirds majority in the Senate must advise and agree to the treaty. Only after the Senate has ratified a treaty may the President ratify it. When adopted, it becomes binding on all States in the Supreme Clause.</w:t>
      </w:r>
    </w:p>
    <w:p w14:paraId="0D7D2271" w14:textId="39975B9E" w:rsidR="00C17466" w:rsidRDefault="007A3D9F" w:rsidP="00C17466">
      <w:pPr>
        <w:ind w:firstLine="720"/>
        <w:contextualSpacing/>
      </w:pPr>
      <w:r w:rsidRPr="00C17466">
        <w:lastRenderedPageBreak/>
        <w:t>The Supreme Court of Justices, the Court of Appellate Judges, and the Circuit Court Judges shall be appointed by the President and approved by the United States Senate, as laid out in the Constitution. Traditionally, this involved approval from at least 60 of the 100 senators; nevertheless, in 2013, Democrats circumvented the nuclear power laws by needing merely a simple majority of those to vote—51 in most instances—the main exception: election to the Supreme Court where the President's vote is taken into account</w:t>
      </w:r>
      <w:r w:rsidR="009B7C3D">
        <w:t>.</w:t>
      </w:r>
    </w:p>
    <w:p w14:paraId="7EA2879F" w14:textId="1973DE88" w:rsidR="009B7C3D" w:rsidRDefault="007A3D9F" w:rsidP="00C17466">
      <w:pPr>
        <w:ind w:firstLine="720"/>
        <w:contextualSpacing/>
      </w:pPr>
      <w:r w:rsidRPr="009B7C3D">
        <w:t>Federal judges are shielded from the power of the other departments and the changing public sentiment. This isolation is referred to as judicial freedom, which enables them to make judgments on the grounds of what is correct under the law, without experiencing political (not being re-elected) or personal (being shot, getting their wages reduced) repercussions for the decisions they make.</w:t>
      </w:r>
      <w:r>
        <w:t xml:space="preserve"> However, the power of the federal judges is kept in check through the checks and balances system.</w:t>
      </w:r>
    </w:p>
    <w:p w14:paraId="0D2CBE08" w14:textId="673F8C38" w:rsidR="0024540F" w:rsidRDefault="007A3D9F" w:rsidP="0024540F">
      <w:pPr>
        <w:contextualSpacing/>
        <w:rPr>
          <w:b/>
          <w:bCs/>
        </w:rPr>
      </w:pPr>
      <w:r>
        <w:rPr>
          <w:b/>
          <w:bCs/>
        </w:rPr>
        <w:t>Federalism</w:t>
      </w:r>
    </w:p>
    <w:p w14:paraId="0BF32C65" w14:textId="3DF5ECF7" w:rsidR="00132A66" w:rsidRDefault="007A3D9F" w:rsidP="00705BE6">
      <w:pPr>
        <w:ind w:firstLine="720"/>
        <w:contextualSpacing/>
      </w:pPr>
      <w:r w:rsidRPr="00132A66">
        <w:t>The federal government structure separates the forces of government between the central (federal) government and the state and local governments. The U.S. Constitution established the national system, also known as federalism.</w:t>
      </w:r>
    </w:p>
    <w:p w14:paraId="6E6B8FDD" w14:textId="373E527A" w:rsidR="00132A66" w:rsidRDefault="00FA6BA0" w:rsidP="00705BE6">
      <w:pPr>
        <w:ind w:firstLine="720"/>
        <w:contextualSpacing/>
      </w:pPr>
      <w:r w:rsidRPr="00FA6BA0">
        <w:t>McCulloch v. Maryland (1819) is one of the first and most significant proceedings of the Supreme Court of the Democratic Republic. In this case, the Supreme Court decided that the powers arising from those alluded to in Section 8 of Article I had been inferred by Congress. The "Necessary and Proper" clause gave Congress the authority to set up a national bank. The Court has broadly specified the delegated powers of the Congress, creating scope for increased national capacities (</w:t>
      </w:r>
      <w:proofErr w:type="spellStart"/>
      <w:r w:rsidRPr="00FA6BA0">
        <w:t>Fossum</w:t>
      </w:r>
      <w:proofErr w:type="spellEnd"/>
      <w:r w:rsidRPr="00FA6BA0">
        <w:t xml:space="preserve"> &amp; </w:t>
      </w:r>
      <w:proofErr w:type="spellStart"/>
      <w:r w:rsidRPr="00FA6BA0">
        <w:t>Jachtenfuchs</w:t>
      </w:r>
      <w:proofErr w:type="spellEnd"/>
      <w:r w:rsidRPr="00FA6BA0">
        <w:t>, 2017)</w:t>
      </w:r>
      <w:r w:rsidR="007A3D9F" w:rsidRPr="00132A66">
        <w:t>.</w:t>
      </w:r>
    </w:p>
    <w:p w14:paraId="74C67308" w14:textId="554D8094" w:rsidR="00705BE6" w:rsidRDefault="00215FD3" w:rsidP="00705BE6">
      <w:pPr>
        <w:ind w:firstLine="720"/>
        <w:contextualSpacing/>
      </w:pPr>
      <w:r w:rsidRPr="00215FD3">
        <w:t>The f</w:t>
      </w:r>
      <w:r w:rsidR="00C8166C">
        <w:t>ourteen</w:t>
      </w:r>
      <w:r w:rsidRPr="00215FD3">
        <w:t xml:space="preserve">th amendment (1868) to the United States constitution extended absolute political and moral rights to African Americans and slaves emancipated after the American Civil </w:t>
      </w:r>
      <w:r w:rsidRPr="00215FD3">
        <w:lastRenderedPageBreak/>
        <w:t>War, including those people born or naturalized in the United States. Accordingly, the statute allows all voters fair voice in the decision-making process by voting in the framework of an indirect representative government (</w:t>
      </w:r>
      <w:proofErr w:type="spellStart"/>
      <w:r w:rsidRPr="00215FD3">
        <w:t>Fossum</w:t>
      </w:r>
      <w:proofErr w:type="spellEnd"/>
      <w:r w:rsidRPr="00215FD3">
        <w:t xml:space="preserve"> &amp; </w:t>
      </w:r>
      <w:proofErr w:type="spellStart"/>
      <w:r w:rsidRPr="00215FD3">
        <w:t>Jachtenfuchs</w:t>
      </w:r>
      <w:proofErr w:type="spellEnd"/>
      <w:r w:rsidRPr="00215FD3">
        <w:t>, 2017).</w:t>
      </w:r>
    </w:p>
    <w:p w14:paraId="40EFD0FF" w14:textId="5F67072A" w:rsidR="00DF52CC" w:rsidRDefault="007A3D9F" w:rsidP="00705BE6">
      <w:pPr>
        <w:ind w:firstLine="720"/>
        <w:contextualSpacing/>
      </w:pPr>
      <w:r w:rsidRPr="00DF52CC">
        <w:t>The Interstate Commerce Act of 1887 is a statutory statute of the United States intended to control the rail market, particularly its monopoly activities. The Act set up a federal oversight body, the Commerce Clause Commission (ICC), to regulate railroads to ensure that they comply with the new regulations.</w:t>
      </w:r>
    </w:p>
    <w:p w14:paraId="11FB8E46" w14:textId="77777777" w:rsidR="00E54425" w:rsidRDefault="00E54425" w:rsidP="00705BE6">
      <w:pPr>
        <w:ind w:firstLine="720"/>
        <w:contextualSpacing/>
      </w:pPr>
      <w:r w:rsidRPr="00E54425">
        <w:t>With a majority of 5–4, the Supreme Court upheld the judgment of the Court of Appeal. It held that, although Congress had strong regulatory powers under the Trade Clause, control was limited and did not apply to "commerce" so much as to make it necessary for the regulation of weapon transport to have an aggregate effect. The Court argued that it could control something that was too far excluded from trade by Congress. Since the Constitution makes Congress a multi-powered entity, that could not be (</w:t>
      </w:r>
      <w:proofErr w:type="spellStart"/>
      <w:r w:rsidRPr="00E54425">
        <w:t>Fossum</w:t>
      </w:r>
      <w:proofErr w:type="spellEnd"/>
      <w:r w:rsidRPr="00E54425">
        <w:t xml:space="preserve"> &amp; </w:t>
      </w:r>
      <w:proofErr w:type="spellStart"/>
      <w:r w:rsidRPr="00E54425">
        <w:t>Jachtenfuchs</w:t>
      </w:r>
      <w:proofErr w:type="spellEnd"/>
      <w:r w:rsidRPr="00E54425">
        <w:t>, 2017).</w:t>
      </w:r>
    </w:p>
    <w:p w14:paraId="47366362" w14:textId="6E8C2886" w:rsidR="00C27679" w:rsidRDefault="007A3D9F" w:rsidP="00705BE6">
      <w:pPr>
        <w:ind w:firstLine="720"/>
        <w:contextualSpacing/>
      </w:pPr>
      <w:r w:rsidRPr="00C27679">
        <w:t>Fiscal federalism, budgetary ties between government units in the federal government structure. Federal officials utilize this authority to implement national laws and regulations. There are two primary forms of transitions, both contractual and unconditional. A conditional move from a federal entity to a province or another region requires several conditions. If this form of transfer is to be obtained by the lower level of government, it must agree to the federal government's budget orders.</w:t>
      </w:r>
    </w:p>
    <w:p w14:paraId="6F03C248" w14:textId="588AA5C1" w:rsidR="000E34EF" w:rsidRDefault="007A3D9F" w:rsidP="000E34EF">
      <w:pPr>
        <w:contextualSpacing/>
        <w:rPr>
          <w:b/>
          <w:bCs/>
        </w:rPr>
      </w:pPr>
      <w:r>
        <w:rPr>
          <w:b/>
          <w:bCs/>
        </w:rPr>
        <w:t>Civil Liberties</w:t>
      </w:r>
    </w:p>
    <w:p w14:paraId="5A05D06D" w14:textId="4D291F3C" w:rsidR="000E34EF" w:rsidRDefault="007A3D9F" w:rsidP="000E34EF">
      <w:pPr>
        <w:ind w:firstLine="720"/>
        <w:contextualSpacing/>
      </w:pPr>
      <w:r w:rsidRPr="000E34EF">
        <w:t xml:space="preserve">The 'establishment of </w:t>
      </w:r>
      <w:r>
        <w:t>religion</w:t>
      </w:r>
      <w:r w:rsidRPr="000E34EF">
        <w:t xml:space="preserve">' provision of the First Amendment implies that: 'Neither a state nor a federal government should create a church. Nor should legislation that promote one religion, benefit all religions, or </w:t>
      </w:r>
      <w:proofErr w:type="spellStart"/>
      <w:r w:rsidRPr="000E34EF">
        <w:t>favour</w:t>
      </w:r>
      <w:proofErr w:type="spellEnd"/>
      <w:r w:rsidRPr="000E34EF">
        <w:t xml:space="preserve"> one religion over another' is enacted. Almost all jurists accept that this must breach the Establishment Clause for the government to require religion's </w:t>
      </w:r>
      <w:r w:rsidRPr="000E34EF">
        <w:lastRenderedPageBreak/>
        <w:t>presence or financial support.</w:t>
      </w:r>
      <w:r>
        <w:t xml:space="preserve"> The lemon test </w:t>
      </w:r>
      <w:r w:rsidR="00A675FA">
        <w:t>gives</w:t>
      </w:r>
      <w:r>
        <w:t xml:space="preserve"> guidelines that inhibit the government from interfering too much with religion, resulting in conflict.</w:t>
      </w:r>
    </w:p>
    <w:p w14:paraId="3DA011AF" w14:textId="2C4BBDBF" w:rsidR="00A675FA" w:rsidRDefault="007A3D9F" w:rsidP="000E34EF">
      <w:pPr>
        <w:ind w:firstLine="720"/>
        <w:contextualSpacing/>
      </w:pPr>
      <w:r w:rsidRPr="00A675FA">
        <w:t xml:space="preserve">The free-exercise provision involves the freedom to exercise one's faith openly. It says that the government shall not make any legislation banning the free practice of religion. While the document is unconditional, the courts impose some limitations on the way of </w:t>
      </w:r>
      <w:proofErr w:type="spellStart"/>
      <w:r w:rsidRPr="00A675FA">
        <w:t>faith</w:t>
      </w:r>
      <w:r w:rsidR="00215FD3" w:rsidRPr="00215FD3">
        <w:t>For</w:t>
      </w:r>
      <w:proofErr w:type="spellEnd"/>
      <w:r w:rsidR="00215FD3" w:rsidRPr="00215FD3">
        <w:t xml:space="preserve"> example, the courts may not say that, while the First Amendment is necessary by religion, it prohibits human </w:t>
      </w:r>
      <w:proofErr w:type="spellStart"/>
      <w:r w:rsidR="00215FD3" w:rsidRPr="00215FD3">
        <w:t>sacrifice.</w:t>
      </w:r>
      <w:r w:rsidR="00C8166C">
        <w:t>m</w:t>
      </w:r>
      <w:proofErr w:type="spellEnd"/>
      <w:r w:rsidR="00C8166C">
        <w:t>=</w:t>
      </w:r>
      <w:r w:rsidRPr="00A675FA">
        <w:t xml:space="preserve"> The Supreme Court has defined this provision so that the right to believe in total, but the capacity to function on that conviction is not absolute.</w:t>
      </w:r>
      <w:r w:rsidR="00E95B03">
        <w:t xml:space="preserve"> </w:t>
      </w:r>
      <w:r w:rsidR="00E95B03" w:rsidRPr="00E95B03">
        <w:t xml:space="preserve">The case in the Supreme Court of the USA, Masterpiece </w:t>
      </w:r>
      <w:proofErr w:type="spellStart"/>
      <w:r w:rsidR="00E95B03" w:rsidRPr="00E95B03">
        <w:t>Cakeshop</w:t>
      </w:r>
      <w:proofErr w:type="spellEnd"/>
      <w:r w:rsidR="00E95B03" w:rsidRPr="00E95B03">
        <w:t xml:space="preserve"> v. Colorado Civil Rights Commission, 584 </w:t>
      </w:r>
      <w:r w:rsidR="00073AC4" w:rsidRPr="00073AC4">
        <w:t>The U.S. has studied the potential for city owners to refuse such facilities on the grounds of First Amendment statements of freedom of speech and freedom of faith (</w:t>
      </w:r>
      <w:proofErr w:type="spellStart"/>
      <w:r w:rsidR="00073AC4" w:rsidRPr="00073AC4">
        <w:t>Costigan</w:t>
      </w:r>
      <w:proofErr w:type="spellEnd"/>
      <w:r w:rsidR="00073AC4" w:rsidRPr="00073AC4">
        <w:t xml:space="preserve"> &amp; Stone, 2017). In its review under the Colorado Anti-Discrimination Act (CAD) the Colorado Civil Rights Commission ruled that the bakery discriminated against the pair and gave clear bakery instructions.</w:t>
      </w:r>
    </w:p>
    <w:p w14:paraId="594F194A" w14:textId="72DF1A38" w:rsidR="00086159" w:rsidRDefault="007A3D9F" w:rsidP="000E34EF">
      <w:pPr>
        <w:ind w:firstLine="720"/>
        <w:contextualSpacing/>
      </w:pPr>
      <w:r w:rsidRPr="00086159">
        <w:t>The Supreme Court has deemed "well-defined and narrowly limited." which involves obscenity, defamation, theft, incitement, real threats, and expression, which is now extensive in criminal behavior. Advocacy and incitement are two types of names, the latter being a particular form of speech targeted at encouraging and likely to incite or produce such action.</w:t>
      </w:r>
    </w:p>
    <w:p w14:paraId="73FDBE1E" w14:textId="2C2342CC" w:rsidR="00D41B60" w:rsidRDefault="007A3D9F" w:rsidP="000E34EF">
      <w:pPr>
        <w:ind w:firstLine="720"/>
        <w:contextualSpacing/>
      </w:pPr>
      <w:r w:rsidRPr="00D41B60">
        <w:t>The good-faith exemption occurs where an officer performs a search or arrest with "objectively reasonable dependence" on, for example, a warrant, which is undoubtedly not unconstitutional but which may not have been approved by a judicial magistrate.</w:t>
      </w:r>
    </w:p>
    <w:p w14:paraId="5FC658AF" w14:textId="6D492A5E" w:rsidR="00D41B60" w:rsidRDefault="007A3D9F" w:rsidP="00D41B60">
      <w:pPr>
        <w:contextualSpacing/>
        <w:rPr>
          <w:b/>
          <w:bCs/>
        </w:rPr>
      </w:pPr>
      <w:r>
        <w:rPr>
          <w:b/>
          <w:bCs/>
        </w:rPr>
        <w:t xml:space="preserve">Civil Rights </w:t>
      </w:r>
    </w:p>
    <w:p w14:paraId="2AEB3F07" w14:textId="603F06BA" w:rsidR="00D41B60" w:rsidRDefault="007A3D9F" w:rsidP="00D976DA">
      <w:pPr>
        <w:ind w:firstLine="720"/>
        <w:contextualSpacing/>
      </w:pPr>
      <w:r w:rsidRPr="00D976DA">
        <w:t xml:space="preserve">In the U.S. Constitution system, the concept of federalism includes consideration of the respective legislative bodies and varied communities in the various States, Slavery was forbidden </w:t>
      </w:r>
      <w:r w:rsidRPr="00D976DA">
        <w:lastRenderedPageBreak/>
        <w:t>and all people born or naturalized in the United States regardless of ethnicity, and governments prohibited infringing voting privileges dependent on race and historical servitude from the United States. The two concepts are thus bound in a structural tension.</w:t>
      </w:r>
    </w:p>
    <w:p w14:paraId="6CF2035B" w14:textId="38F2D7B1" w:rsidR="00C45874" w:rsidRPr="00D976DA" w:rsidRDefault="007A3D9F" w:rsidP="00D976DA">
      <w:pPr>
        <w:ind w:firstLine="720"/>
        <w:contextualSpacing/>
      </w:pPr>
      <w:r w:rsidRPr="00C45874">
        <w:t>In the U.S. Constitutional system, the concept of federalism includes consideration by the respective lawmaking bodies and the diverse collectivities of the various States, forbidden from slavery, and prohibited from breaking the voting privileges dependent on race and historical servitude of all people born or naturalized in the United States regardless of their ethnicity and governments. Both concepts are thus bound in a tension of structure</w:t>
      </w:r>
      <w:r w:rsidR="00D30498">
        <w:t xml:space="preserve"> </w:t>
      </w:r>
      <w:r w:rsidR="00D30498" w:rsidRPr="00D30498">
        <w:t>(</w:t>
      </w:r>
      <w:proofErr w:type="spellStart"/>
      <w:r w:rsidR="00D30498" w:rsidRPr="00D30498">
        <w:t>Munger</w:t>
      </w:r>
      <w:proofErr w:type="spellEnd"/>
      <w:r w:rsidR="00D30498" w:rsidRPr="00D30498">
        <w:t xml:space="preserve"> &amp; </w:t>
      </w:r>
      <w:proofErr w:type="spellStart"/>
      <w:r w:rsidR="00D30498" w:rsidRPr="00D30498">
        <w:t>Seron</w:t>
      </w:r>
      <w:proofErr w:type="spellEnd"/>
      <w:r w:rsidR="00D30498" w:rsidRPr="00D30498">
        <w:t>, 2017).</w:t>
      </w:r>
    </w:p>
    <w:p w14:paraId="208C793A" w14:textId="29985C88" w:rsidR="00E95B03" w:rsidRDefault="007A3D9F" w:rsidP="000E34EF">
      <w:pPr>
        <w:ind w:firstLine="720"/>
        <w:contextualSpacing/>
      </w:pPr>
      <w:r w:rsidRPr="00EA6211">
        <w:t>In Brown v. Board, Plessy v. Ferguson was overthrow</w:t>
      </w:r>
      <w:r w:rsidR="00111458">
        <w:t>n</w:t>
      </w:r>
      <w:r w:rsidRPr="00EA6211">
        <w:t xml:space="preserve"> by the Supreme Court, and apartheid was banned. The Court concluded with Thurgood Marshall and his fellow NAACP attorneys that the 14th Amendment's fair treatment of law was breached by segregating classrooms.</w:t>
      </w:r>
    </w:p>
    <w:p w14:paraId="6FAA0C17" w14:textId="28B5EBFE" w:rsidR="0024540F" w:rsidRDefault="007A3D9F" w:rsidP="00111458">
      <w:pPr>
        <w:ind w:firstLine="720"/>
        <w:contextualSpacing/>
      </w:pPr>
      <w:r w:rsidRPr="00111458">
        <w:t xml:space="preserve">In 1957, African American students tried to integrate Central High School at Little Rock, and the first significant dispute regarding this decision was. After Governor </w:t>
      </w:r>
      <w:proofErr w:type="spellStart"/>
      <w:r w:rsidRPr="00111458">
        <w:t>Faubus</w:t>
      </w:r>
      <w:proofErr w:type="spellEnd"/>
      <w:r w:rsidRPr="00111458">
        <w:t xml:space="preserve"> and Arkansas National Guard soldiers surrounded the campus, there was a dispute with federal officials. The Governor of Arkansas, </w:t>
      </w:r>
      <w:proofErr w:type="spellStart"/>
      <w:r w:rsidRPr="00111458">
        <w:t>Orval</w:t>
      </w:r>
      <w:proofErr w:type="spellEnd"/>
      <w:r w:rsidRPr="00111458">
        <w:t xml:space="preserve"> </w:t>
      </w:r>
      <w:proofErr w:type="spellStart"/>
      <w:r w:rsidRPr="00111458">
        <w:t>Faubus</w:t>
      </w:r>
      <w:proofErr w:type="spellEnd"/>
      <w:r w:rsidRPr="00111458">
        <w:t>, defied Brown's Supreme Court ruling that compelled Eisenhower to submit federal troops</w:t>
      </w:r>
      <w:r w:rsidR="00D30498">
        <w:t xml:space="preserve"> </w:t>
      </w:r>
      <w:r w:rsidR="00D30498" w:rsidRPr="00D30498">
        <w:t>(</w:t>
      </w:r>
      <w:proofErr w:type="spellStart"/>
      <w:r w:rsidR="00D30498" w:rsidRPr="00D30498">
        <w:t>Theoharis</w:t>
      </w:r>
      <w:proofErr w:type="spellEnd"/>
      <w:r w:rsidR="00D30498" w:rsidRPr="00D30498">
        <w:t>, 2018)</w:t>
      </w:r>
      <w:r w:rsidRPr="00111458">
        <w:t>. The government had to step in</w:t>
      </w:r>
      <w:r>
        <w:t xml:space="preserve">. </w:t>
      </w:r>
    </w:p>
    <w:p w14:paraId="6FF5AA68" w14:textId="45ED6F65" w:rsidR="00DC7B26" w:rsidRDefault="007A3D9F" w:rsidP="00DC7B26">
      <w:pPr>
        <w:ind w:firstLine="720"/>
        <w:contextualSpacing/>
      </w:pPr>
      <w:r w:rsidRPr="00C93801">
        <w:t>Congress enacted Legislation 88-352 in 1964 (78 Stat. 241). The 1964 Civil Rights Act bans ethnic, color, social, gender, or national discrimination. Human rights laws bar prejudice on the grounds of anatomy and the ethnicity of recruitment, advancement, and termination</w:t>
      </w:r>
      <w:r>
        <w:t>.</w:t>
      </w:r>
    </w:p>
    <w:p w14:paraId="40D74EEE" w14:textId="0AD0B322" w:rsidR="00DC7B26" w:rsidRDefault="007A3D9F" w:rsidP="00DC7B26">
      <w:pPr>
        <w:ind w:firstLine="720"/>
        <w:contextualSpacing/>
      </w:pPr>
      <w:r w:rsidRPr="00DC7B26">
        <w:t xml:space="preserve">President Lyndon B. Johnson, who signed the 1965 Voting Rights Act, seeks to address legal challenges at the state and local level, which prohibited African Americans from practicing </w:t>
      </w:r>
      <w:r w:rsidRPr="00DC7B26">
        <w:lastRenderedPageBreak/>
        <w:t>their right to vote as provided in the 15th U.S. amendment. Constitution. Constitution</w:t>
      </w:r>
      <w:r w:rsidR="00D30498">
        <w:t xml:space="preserve"> (</w:t>
      </w:r>
      <w:proofErr w:type="spellStart"/>
      <w:r w:rsidR="00D30498" w:rsidRPr="00D30498">
        <w:t>Munger</w:t>
      </w:r>
      <w:proofErr w:type="spellEnd"/>
      <w:r w:rsidR="00D30498" w:rsidRPr="00D30498">
        <w:t xml:space="preserve"> &amp; </w:t>
      </w:r>
      <w:proofErr w:type="spellStart"/>
      <w:r w:rsidR="00D30498" w:rsidRPr="00D30498">
        <w:t>Seron</w:t>
      </w:r>
      <w:proofErr w:type="spellEnd"/>
      <w:r w:rsidR="00D30498" w:rsidRPr="00D30498">
        <w:t>, 2017).</w:t>
      </w:r>
    </w:p>
    <w:p w14:paraId="04F07DEE" w14:textId="234FC69D" w:rsidR="00DC7B26" w:rsidRDefault="007A3D9F" w:rsidP="00DC7B26">
      <w:pPr>
        <w:ind w:firstLine="720"/>
        <w:contextualSpacing/>
      </w:pPr>
      <w:r w:rsidRPr="00DC7B26">
        <w:t xml:space="preserve">In Loving v. Virginia, the Supreme Court declared its decision on 12 June 1967. The judges overwhelmingly ruled that the inter-racial marriage laws in Virginia contravened the 14th Amendment to the Constitution. In </w:t>
      </w:r>
      <w:proofErr w:type="spellStart"/>
      <w:r w:rsidRPr="00DC7B26">
        <w:t>Obergefell</w:t>
      </w:r>
      <w:proofErr w:type="spellEnd"/>
      <w:r w:rsidRPr="00DC7B26">
        <w:t xml:space="preserve"> v. Hodges in 2015, the Supreme Court cited Loving, among other instances, as a basis for ruling that States would enable same-sex partnerships, also in compliance with the Fair Rights and Due Process Clauses</w:t>
      </w:r>
      <w:r w:rsidR="00D30498">
        <w:t xml:space="preserve"> (</w:t>
      </w:r>
      <w:proofErr w:type="spellStart"/>
      <w:r w:rsidR="00D30498" w:rsidRPr="00D30498">
        <w:t>Theoharis</w:t>
      </w:r>
      <w:proofErr w:type="spellEnd"/>
      <w:r w:rsidR="00D30498" w:rsidRPr="00D30498">
        <w:t>,</w:t>
      </w:r>
      <w:r w:rsidR="00D30498">
        <w:t xml:space="preserve"> </w:t>
      </w:r>
      <w:r w:rsidR="00D30498" w:rsidRPr="00D30498">
        <w:t>2018)</w:t>
      </w:r>
      <w:r w:rsidRPr="00DC7B26">
        <w:t>.</w:t>
      </w:r>
    </w:p>
    <w:p w14:paraId="0597505F" w14:textId="2BC006A9" w:rsidR="00DC7B26" w:rsidRDefault="007A3D9F" w:rsidP="00DC7B26">
      <w:pPr>
        <w:ind w:firstLine="720"/>
        <w:contextualSpacing/>
      </w:pPr>
      <w:r w:rsidRPr="00DC7B26">
        <w:t>Affirmative action applies to the reform package of a country or entity that aims to expand individual populations' inclusion in places where they have been disadvantaged in the past, such as schooling and jobs centered on ethnicity, color, religion, values, or nationality. Opponents maintain that such measures are discriminating toward other races, such as Asian Americans, which implies that one group is favored instead of accomplished on the grounds of ethnic identity. Many think the complexity of the actual American society indicates.</w:t>
      </w:r>
    </w:p>
    <w:p w14:paraId="00CC3B51" w14:textId="360C5590" w:rsidR="003475A2" w:rsidRDefault="003475A2" w:rsidP="00DC7B26">
      <w:pPr>
        <w:ind w:firstLine="720"/>
        <w:contextualSpacing/>
      </w:pPr>
    </w:p>
    <w:p w14:paraId="123B4591" w14:textId="06E878DD" w:rsidR="003475A2" w:rsidRDefault="003475A2" w:rsidP="00DC7B26">
      <w:pPr>
        <w:ind w:firstLine="720"/>
        <w:contextualSpacing/>
      </w:pPr>
    </w:p>
    <w:p w14:paraId="1F7157B5" w14:textId="5A3E6EAE" w:rsidR="003475A2" w:rsidRDefault="003475A2" w:rsidP="00DC7B26">
      <w:pPr>
        <w:ind w:firstLine="720"/>
        <w:contextualSpacing/>
      </w:pPr>
    </w:p>
    <w:p w14:paraId="2828DE55" w14:textId="42E6238B" w:rsidR="003475A2" w:rsidRDefault="003475A2" w:rsidP="00DC7B26">
      <w:pPr>
        <w:ind w:firstLine="720"/>
        <w:contextualSpacing/>
      </w:pPr>
    </w:p>
    <w:p w14:paraId="11EE5BF9" w14:textId="6FCB3514" w:rsidR="003475A2" w:rsidRDefault="007A3D9F" w:rsidP="003475A2">
      <w:pPr>
        <w:ind w:firstLine="720"/>
        <w:contextualSpacing/>
        <w:jc w:val="center"/>
        <w:rPr>
          <w:b/>
          <w:bCs/>
        </w:rPr>
      </w:pPr>
      <w:r>
        <w:rPr>
          <w:b/>
          <w:bCs/>
        </w:rPr>
        <w:t xml:space="preserve">References </w:t>
      </w:r>
    </w:p>
    <w:p w14:paraId="44AB5558" w14:textId="77777777" w:rsidR="00D30498" w:rsidRDefault="007A3D9F" w:rsidP="00D30498">
      <w:pPr>
        <w:ind w:left="720" w:hanging="720"/>
        <w:contextualSpacing/>
      </w:pPr>
      <w:proofErr w:type="spellStart"/>
      <w:r w:rsidRPr="00D30498">
        <w:t>Costigan</w:t>
      </w:r>
      <w:proofErr w:type="spellEnd"/>
      <w:r w:rsidRPr="00D30498">
        <w:t>, R., &amp; Stone, R. (2017). </w:t>
      </w:r>
      <w:r w:rsidRPr="00D30498">
        <w:rPr>
          <w:i/>
          <w:iCs/>
        </w:rPr>
        <w:t>Civil Liberties &amp; Human Rights</w:t>
      </w:r>
      <w:r w:rsidRPr="00D30498">
        <w:t>. Oxford University Press.</w:t>
      </w:r>
    </w:p>
    <w:p w14:paraId="7BF5FA04" w14:textId="77777777" w:rsidR="00D30498" w:rsidRDefault="007A3D9F" w:rsidP="00D30498">
      <w:pPr>
        <w:ind w:left="720" w:hanging="720"/>
        <w:contextualSpacing/>
      </w:pPr>
      <w:r w:rsidRPr="003475A2">
        <w:t>Elliot, J. (2019). </w:t>
      </w:r>
      <w:r w:rsidRPr="003475A2">
        <w:rPr>
          <w:i/>
          <w:iCs/>
        </w:rPr>
        <w:t>The debates in the Several State Conventions on the Adoption of the Federal Constitution, vol. 2</w:t>
      </w:r>
      <w:r w:rsidRPr="003475A2">
        <w:t xml:space="preserve">. </w:t>
      </w:r>
      <w:proofErr w:type="spellStart"/>
      <w:r w:rsidRPr="003475A2">
        <w:t>Jazzybee</w:t>
      </w:r>
      <w:proofErr w:type="spellEnd"/>
      <w:r w:rsidRPr="003475A2">
        <w:t xml:space="preserve"> </w:t>
      </w:r>
      <w:proofErr w:type="spellStart"/>
      <w:r w:rsidRPr="003475A2">
        <w:t>Verlag</w:t>
      </w:r>
      <w:proofErr w:type="spellEnd"/>
      <w:r w:rsidRPr="003475A2">
        <w:t>.</w:t>
      </w:r>
    </w:p>
    <w:p w14:paraId="26855E9F" w14:textId="77777777" w:rsidR="00D30498" w:rsidRDefault="007A3D9F" w:rsidP="00D30498">
      <w:pPr>
        <w:ind w:left="720" w:hanging="720"/>
        <w:contextualSpacing/>
      </w:pPr>
      <w:proofErr w:type="spellStart"/>
      <w:r w:rsidRPr="00D30498">
        <w:lastRenderedPageBreak/>
        <w:t>Fossum</w:t>
      </w:r>
      <w:proofErr w:type="spellEnd"/>
      <w:r w:rsidRPr="00D30498">
        <w:t xml:space="preserve">, J. E., &amp; </w:t>
      </w:r>
      <w:proofErr w:type="spellStart"/>
      <w:r w:rsidRPr="00D30498">
        <w:t>Jachtenfuchs</w:t>
      </w:r>
      <w:proofErr w:type="spellEnd"/>
      <w:r w:rsidRPr="00D30498">
        <w:t xml:space="preserve">, M. (2017). Federal challenges and challenges to federalism. Insights from the E.U. and national states. </w:t>
      </w:r>
      <w:r w:rsidRPr="00D30498">
        <w:rPr>
          <w:i/>
          <w:iCs/>
        </w:rPr>
        <w:t>Journal of European Public Policy</w:t>
      </w:r>
      <w:r w:rsidRPr="00D30498">
        <w:t>, </w:t>
      </w:r>
      <w:r w:rsidRPr="00D30498">
        <w:rPr>
          <w:i/>
          <w:iCs/>
        </w:rPr>
        <w:t>24</w:t>
      </w:r>
      <w:r w:rsidRPr="00D30498">
        <w:t>(4), 467-485.</w:t>
      </w:r>
    </w:p>
    <w:p w14:paraId="658BB447" w14:textId="77777777" w:rsidR="00D30498" w:rsidRDefault="007A3D9F" w:rsidP="00D30498">
      <w:pPr>
        <w:ind w:left="720" w:hanging="720"/>
        <w:contextualSpacing/>
      </w:pPr>
      <w:proofErr w:type="spellStart"/>
      <w:r w:rsidRPr="00D30498">
        <w:t>Munger</w:t>
      </w:r>
      <w:proofErr w:type="spellEnd"/>
      <w:r w:rsidRPr="00D30498">
        <w:t xml:space="preserve">, F. W., &amp; </w:t>
      </w:r>
      <w:proofErr w:type="spellStart"/>
      <w:r w:rsidRPr="00D30498">
        <w:t>Seron</w:t>
      </w:r>
      <w:proofErr w:type="spellEnd"/>
      <w:r w:rsidRPr="00D30498">
        <w:t>, C. (2017). Race, law, and inequality, 50 years after the Civil Rights Era. </w:t>
      </w:r>
      <w:r w:rsidRPr="00D30498">
        <w:rPr>
          <w:i/>
          <w:iCs/>
        </w:rPr>
        <w:t>Annual Review of Law and Social Science</w:t>
      </w:r>
      <w:r w:rsidRPr="00D30498">
        <w:t>, </w:t>
      </w:r>
      <w:r w:rsidRPr="00D30498">
        <w:rPr>
          <w:i/>
          <w:iCs/>
        </w:rPr>
        <w:t>13</w:t>
      </w:r>
      <w:r w:rsidRPr="00D30498">
        <w:t>, 331-350.</w:t>
      </w:r>
    </w:p>
    <w:p w14:paraId="3B9002AD" w14:textId="77777777" w:rsidR="00D30498" w:rsidRPr="003475A2" w:rsidRDefault="007A3D9F" w:rsidP="00D30498">
      <w:pPr>
        <w:ind w:left="720" w:hanging="720"/>
        <w:contextualSpacing/>
      </w:pPr>
      <w:proofErr w:type="spellStart"/>
      <w:r w:rsidRPr="00D30498">
        <w:t>Theoharis</w:t>
      </w:r>
      <w:proofErr w:type="spellEnd"/>
      <w:r w:rsidRPr="00D30498">
        <w:t>, J. (2018). </w:t>
      </w:r>
      <w:r w:rsidRPr="00D30498">
        <w:rPr>
          <w:i/>
          <w:iCs/>
        </w:rPr>
        <w:t>A more beautiful and terrible history: The uses and misuses of civil rights history</w:t>
      </w:r>
      <w:r w:rsidRPr="00D30498">
        <w:t>. Beacon Press.</w:t>
      </w:r>
    </w:p>
    <w:sectPr w:rsidR="00D30498" w:rsidRPr="003475A2">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394F93A" w14:textId="77777777" w:rsidR="007A3D9F" w:rsidRDefault="007A3D9F">
      <w:pPr>
        <w:spacing w:after="0" w:line="240" w:lineRule="auto"/>
      </w:pPr>
      <w:r>
        <w:separator/>
      </w:r>
    </w:p>
  </w:endnote>
  <w:endnote w:type="continuationSeparator" w:id="0">
    <w:p w14:paraId="2D363B50" w14:textId="77777777" w:rsidR="007A3D9F" w:rsidRDefault="007A3D9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152F7BF" w14:textId="77777777" w:rsidR="007A3D9F" w:rsidRDefault="007A3D9F">
      <w:pPr>
        <w:spacing w:after="0" w:line="240" w:lineRule="auto"/>
      </w:pPr>
      <w:r>
        <w:separator/>
      </w:r>
    </w:p>
  </w:footnote>
  <w:footnote w:type="continuationSeparator" w:id="0">
    <w:p w14:paraId="64310B86" w14:textId="77777777" w:rsidR="007A3D9F" w:rsidRDefault="007A3D9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438245370"/>
      <w:docPartObj>
        <w:docPartGallery w:val="Page Numbers (Top of Page)"/>
        <w:docPartUnique/>
      </w:docPartObj>
    </w:sdtPr>
    <w:sdtEndPr>
      <w:rPr>
        <w:noProof/>
      </w:rPr>
    </w:sdtEndPr>
    <w:sdtContent>
      <w:p w14:paraId="46610AF6" w14:textId="3A9BEF85" w:rsidR="00836F6C" w:rsidRDefault="007A3D9F">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0174777E" w14:textId="77777777" w:rsidR="00836F6C" w:rsidRDefault="00836F6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3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6F6C"/>
    <w:rsid w:val="0000576E"/>
    <w:rsid w:val="000301EC"/>
    <w:rsid w:val="00041F08"/>
    <w:rsid w:val="00073AC4"/>
    <w:rsid w:val="00086159"/>
    <w:rsid w:val="000E34EF"/>
    <w:rsid w:val="00111458"/>
    <w:rsid w:val="00132A66"/>
    <w:rsid w:val="001A39F5"/>
    <w:rsid w:val="00215FD3"/>
    <w:rsid w:val="0024540F"/>
    <w:rsid w:val="00252AB2"/>
    <w:rsid w:val="00267D8D"/>
    <w:rsid w:val="002B5C95"/>
    <w:rsid w:val="002E2CEE"/>
    <w:rsid w:val="00303BF6"/>
    <w:rsid w:val="003475A2"/>
    <w:rsid w:val="003B2919"/>
    <w:rsid w:val="005C36AB"/>
    <w:rsid w:val="005E3D3F"/>
    <w:rsid w:val="00657962"/>
    <w:rsid w:val="00677849"/>
    <w:rsid w:val="00702B77"/>
    <w:rsid w:val="00705BE6"/>
    <w:rsid w:val="0072286B"/>
    <w:rsid w:val="00742868"/>
    <w:rsid w:val="00774C85"/>
    <w:rsid w:val="007A3D9F"/>
    <w:rsid w:val="007E0F55"/>
    <w:rsid w:val="00817566"/>
    <w:rsid w:val="00836F6C"/>
    <w:rsid w:val="00840E39"/>
    <w:rsid w:val="008D786C"/>
    <w:rsid w:val="009A2BB4"/>
    <w:rsid w:val="009B7C3D"/>
    <w:rsid w:val="00A06E38"/>
    <w:rsid w:val="00A675FA"/>
    <w:rsid w:val="00AF299C"/>
    <w:rsid w:val="00B02957"/>
    <w:rsid w:val="00C17466"/>
    <w:rsid w:val="00C27679"/>
    <w:rsid w:val="00C45874"/>
    <w:rsid w:val="00C8166C"/>
    <w:rsid w:val="00C84883"/>
    <w:rsid w:val="00C93801"/>
    <w:rsid w:val="00CA66AF"/>
    <w:rsid w:val="00D30498"/>
    <w:rsid w:val="00D41B60"/>
    <w:rsid w:val="00D976DA"/>
    <w:rsid w:val="00DC7B26"/>
    <w:rsid w:val="00DF52CC"/>
    <w:rsid w:val="00E54425"/>
    <w:rsid w:val="00E95B03"/>
    <w:rsid w:val="00EA6211"/>
    <w:rsid w:val="00ED66C9"/>
    <w:rsid w:val="00F05F98"/>
    <w:rsid w:val="00FA6BA0"/>
    <w:rsid w:val="00FF48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68EF5E"/>
  <w15:chartTrackingRefBased/>
  <w15:docId w15:val="{EFFEF670-F79D-4D72-9B43-C6B4D68ADC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imes New Roman"/>
        <w:sz w:val="24"/>
        <w:szCs w:val="22"/>
        <w:lang w:val="en-US" w:eastAsia="en-US" w:bidi="ar-SA"/>
      </w:rPr>
    </w:rPrDefault>
    <w:pPrDefault>
      <w:pPr>
        <w:spacing w:after="160" w:line="48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40E3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36F6C"/>
    <w:pPr>
      <w:tabs>
        <w:tab w:val="center" w:pos="4680"/>
        <w:tab w:val="right" w:pos="9360"/>
      </w:tabs>
      <w:spacing w:after="0" w:line="240" w:lineRule="auto"/>
    </w:pPr>
  </w:style>
  <w:style w:type="character" w:customStyle="1" w:styleId="HeaderChar">
    <w:name w:val="Header Char"/>
    <w:basedOn w:val="DefaultParagraphFont"/>
    <w:link w:val="Header"/>
    <w:uiPriority w:val="99"/>
    <w:rsid w:val="00836F6C"/>
  </w:style>
  <w:style w:type="paragraph" w:styleId="Footer">
    <w:name w:val="footer"/>
    <w:basedOn w:val="Normal"/>
    <w:link w:val="FooterChar"/>
    <w:uiPriority w:val="99"/>
    <w:unhideWhenUsed/>
    <w:rsid w:val="00836F6C"/>
    <w:pPr>
      <w:tabs>
        <w:tab w:val="center" w:pos="4680"/>
        <w:tab w:val="right" w:pos="9360"/>
      </w:tabs>
      <w:spacing w:after="0" w:line="240" w:lineRule="auto"/>
    </w:pPr>
  </w:style>
  <w:style w:type="character" w:customStyle="1" w:styleId="FooterChar">
    <w:name w:val="Footer Char"/>
    <w:basedOn w:val="DefaultParagraphFont"/>
    <w:link w:val="Footer"/>
    <w:uiPriority w:val="99"/>
    <w:rsid w:val="00836F6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 /><Relationship Id="rId3" Type="http://schemas.openxmlformats.org/officeDocument/2006/relationships/webSettings" Target="webSettings.xml" /><Relationship Id="rId7" Type="http://schemas.openxmlformats.org/officeDocument/2006/relationships/fontTable" Target="fontTable.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header" Target="header1.xml" /><Relationship Id="rId5" Type="http://schemas.openxmlformats.org/officeDocument/2006/relationships/endnotes" Target="endnotes.xml" /><Relationship Id="rId4" Type="http://schemas.openxmlformats.org/officeDocument/2006/relationships/footnotes" Target="footnot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10</Pages>
  <Words>2309</Words>
  <Characters>13165</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15444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KEN NDEGWER</dc:creator>
  <cp:lastModifiedBy>254716226303</cp:lastModifiedBy>
  <cp:revision>2</cp:revision>
  <dcterms:created xsi:type="dcterms:W3CDTF">2021-01-08T20:58:00Z</dcterms:created>
  <dcterms:modified xsi:type="dcterms:W3CDTF">2021-01-08T20:58:00Z</dcterms:modified>
</cp:coreProperties>
</file>